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F53D3D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Processo n. 738438/2010.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F53D3D">
        <w:rPr>
          <w:rFonts w:asciiTheme="minorHAnsi" w:hAnsiTheme="minorHAnsi" w:cstheme="minorHAnsi"/>
          <w:sz w:val="21"/>
          <w:szCs w:val="21"/>
        </w:rPr>
        <w:t xml:space="preserve"> Jair Luiz </w:t>
      </w:r>
      <w:proofErr w:type="spellStart"/>
      <w:r w:rsidR="00F53D3D">
        <w:rPr>
          <w:rFonts w:asciiTheme="minorHAnsi" w:hAnsiTheme="minorHAnsi" w:cstheme="minorHAnsi"/>
          <w:sz w:val="21"/>
          <w:szCs w:val="21"/>
        </w:rPr>
        <w:t>Mazieiro</w:t>
      </w:r>
      <w:proofErr w:type="spellEnd"/>
      <w:r w:rsidR="00F53D3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CB551C">
        <w:rPr>
          <w:rFonts w:asciiTheme="minorHAnsi" w:hAnsiTheme="minorHAnsi" w:cstheme="minorHAnsi"/>
          <w:sz w:val="21"/>
          <w:szCs w:val="21"/>
        </w:rPr>
        <w:t xml:space="preserve">ção n. </w:t>
      </w:r>
      <w:r w:rsidR="00F53D3D">
        <w:rPr>
          <w:rFonts w:asciiTheme="minorHAnsi" w:hAnsiTheme="minorHAnsi" w:cstheme="minorHAnsi"/>
          <w:sz w:val="21"/>
          <w:szCs w:val="21"/>
        </w:rPr>
        <w:t>126577, de 22/09/2010.</w:t>
      </w:r>
    </w:p>
    <w:p w:rsidR="00F54B4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F53D3D">
        <w:rPr>
          <w:rFonts w:asciiTheme="minorHAnsi" w:hAnsiTheme="minorHAnsi" w:cstheme="minorHAnsi"/>
          <w:sz w:val="21"/>
          <w:szCs w:val="21"/>
        </w:rPr>
        <w:t xml:space="preserve"> – Ma</w:t>
      </w:r>
      <w:r w:rsidR="002262C2">
        <w:rPr>
          <w:rFonts w:asciiTheme="minorHAnsi" w:hAnsiTheme="minorHAnsi" w:cstheme="minorHAnsi"/>
          <w:sz w:val="21"/>
          <w:szCs w:val="21"/>
        </w:rPr>
        <w:t xml:space="preserve">rcos Felipe </w:t>
      </w:r>
      <w:proofErr w:type="spellStart"/>
      <w:r w:rsidR="002262C2">
        <w:rPr>
          <w:rFonts w:asciiTheme="minorHAnsi" w:hAnsiTheme="minorHAnsi" w:cstheme="minorHAnsi"/>
          <w:sz w:val="21"/>
          <w:szCs w:val="21"/>
        </w:rPr>
        <w:t>Verhalen</w:t>
      </w:r>
      <w:proofErr w:type="spellEnd"/>
      <w:r w:rsidR="002262C2">
        <w:rPr>
          <w:rFonts w:asciiTheme="minorHAnsi" w:hAnsiTheme="minorHAnsi" w:cstheme="minorHAnsi"/>
          <w:sz w:val="21"/>
          <w:szCs w:val="21"/>
        </w:rPr>
        <w:t xml:space="preserve"> de Freitas – SEDUC.</w:t>
      </w:r>
      <w:r w:rsidR="00F53D3D">
        <w:rPr>
          <w:rFonts w:asciiTheme="minorHAnsi" w:hAnsiTheme="minorHAnsi" w:cstheme="minorHAnsi"/>
          <w:sz w:val="21"/>
          <w:szCs w:val="21"/>
        </w:rPr>
        <w:t xml:space="preserve"> </w:t>
      </w:r>
    </w:p>
    <w:p w:rsidR="00A67B20" w:rsidRDefault="00F53D3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Procuradores –Avelino </w:t>
      </w:r>
      <w:r w:rsidR="002B2854">
        <w:rPr>
          <w:rFonts w:asciiTheme="minorHAnsi" w:hAnsiTheme="minorHAnsi" w:cstheme="minorHAnsi"/>
          <w:sz w:val="21"/>
          <w:szCs w:val="21"/>
        </w:rPr>
        <w:t>Egídio</w:t>
      </w:r>
      <w:r>
        <w:rPr>
          <w:rFonts w:asciiTheme="minorHAnsi" w:hAnsiTheme="minorHAnsi" w:cstheme="minorHAnsi"/>
          <w:sz w:val="21"/>
          <w:szCs w:val="21"/>
        </w:rPr>
        <w:t xml:space="preserve"> Taques Filho – CPF 208.122.481-04, e</w:t>
      </w:r>
    </w:p>
    <w:p w:rsidR="00F53D3D" w:rsidRDefault="00F53D3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Leandro Nascimento da Silva – CREA n. 120821185-0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65327C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</w:t>
      </w:r>
      <w:r w:rsidR="00725BBE">
        <w:rPr>
          <w:rFonts w:asciiTheme="minorHAnsi" w:hAnsiTheme="minorHAnsi" w:cstheme="minorHAnsi"/>
          <w:b/>
          <w:sz w:val="21"/>
          <w:szCs w:val="21"/>
        </w:rPr>
        <w:t>dão 276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2B2854" w:rsidRDefault="002B2854" w:rsidP="002B2854">
      <w:pPr>
        <w:jc w:val="both"/>
        <w:rPr>
          <w:rFonts w:ascii="Calibri" w:hAnsi="Calibri" w:cs="Calibri"/>
          <w:sz w:val="28"/>
          <w:szCs w:val="28"/>
        </w:rPr>
      </w:pPr>
    </w:p>
    <w:p w:rsidR="002B2854" w:rsidRPr="002B2854" w:rsidRDefault="002B2854" w:rsidP="002B2854">
      <w:pPr>
        <w:jc w:val="both"/>
        <w:rPr>
          <w:rFonts w:ascii="Calibri" w:hAnsi="Calibri" w:cs="Calibri"/>
          <w:sz w:val="22"/>
          <w:szCs w:val="22"/>
        </w:rPr>
      </w:pPr>
      <w:r w:rsidRPr="002B2854">
        <w:rPr>
          <w:rFonts w:ascii="Calibri" w:hAnsi="Calibri" w:cs="Calibri"/>
          <w:sz w:val="22"/>
          <w:szCs w:val="22"/>
        </w:rPr>
        <w:t>Auto de Infração n° 126577, de 22/09/2010. Auto de Inspeção n° 106686, de 22/09/2010. Relatório Técnico n° 147/DUDVR/2010. Decisão Administrativa n° 2000/SPA/SEMA/2018, de 04/09/2018, pela homologação do Auto de Infração n° 126577, de 22/09/2010, arbitrando a multa no valor de R$ 1.200.000,00 (um milhão e duzentos mil reais) com fulcro no artigo 58 do Decreto Federal n° 6514/2008. Requer o recorrente que seja julgado insubsistente o auto de infração que contesta, extinguindo qualquer punibilidade ou cobrança de multa, por: estar demonstrado a constituição da prescrição recorrente do processo administrativo. Na impossibilidade de atender o que foi requerida acima, que haja uma redução do valor da multa, adequando-a a dimensão real da área afetada, e que tal valor seja convertido em prestação de serviço ambiental.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5F7436" w:rsidRDefault="005F7436" w:rsidP="005F7436">
      <w:pPr>
        <w:jc w:val="both"/>
        <w:rPr>
          <w:rFonts w:ascii="Calibri" w:hAnsi="Calibri" w:cs="Calibri"/>
          <w:sz w:val="28"/>
          <w:szCs w:val="28"/>
        </w:rPr>
      </w:pPr>
    </w:p>
    <w:p w:rsidR="00455726" w:rsidRPr="002B2854" w:rsidRDefault="0064387A" w:rsidP="00946F2A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 w:rsidRPr="005F7436">
        <w:rPr>
          <w:rFonts w:ascii="Book Antiqua" w:hAnsi="Book Antiqua" w:cs="Calibri"/>
          <w:color w:val="000000"/>
          <w:sz w:val="22"/>
          <w:szCs w:val="22"/>
        </w:rPr>
        <w:t xml:space="preserve">, </w:t>
      </w:r>
      <w:r w:rsidR="002B2854" w:rsidRPr="002B2854">
        <w:rPr>
          <w:rFonts w:ascii="Calibri" w:hAnsi="Calibri" w:cs="Calibri"/>
          <w:sz w:val="22"/>
          <w:szCs w:val="22"/>
        </w:rPr>
        <w:t>por unanimidade, dar provimento ao recurso interposto pelo recorrente, acolhendo o voto do relator, pois no tocante a prescrição intercorrente, verificamos que entre a data de prolação da Decisão Interlocutória proferida em 10/01/</w:t>
      </w:r>
      <w:r w:rsidR="000B130B" w:rsidRPr="002B2854">
        <w:rPr>
          <w:rFonts w:ascii="Calibri" w:hAnsi="Calibri" w:cs="Calibri"/>
          <w:sz w:val="22"/>
          <w:szCs w:val="22"/>
        </w:rPr>
        <w:t>2013</w:t>
      </w:r>
      <w:r w:rsidR="000B130B">
        <w:rPr>
          <w:rFonts w:ascii="Calibri" w:hAnsi="Calibri" w:cs="Calibri"/>
          <w:sz w:val="22"/>
          <w:szCs w:val="22"/>
        </w:rPr>
        <w:t xml:space="preserve">, </w:t>
      </w:r>
      <w:r w:rsidR="000B130B" w:rsidRPr="002B2854">
        <w:rPr>
          <w:rFonts w:ascii="Calibri" w:hAnsi="Calibri" w:cs="Calibri"/>
          <w:sz w:val="22"/>
          <w:szCs w:val="22"/>
        </w:rPr>
        <w:t>(</w:t>
      </w:r>
      <w:r w:rsidR="000B130B">
        <w:rPr>
          <w:rFonts w:ascii="Calibri" w:hAnsi="Calibri" w:cs="Calibri"/>
          <w:sz w:val="22"/>
          <w:szCs w:val="22"/>
        </w:rPr>
        <w:t xml:space="preserve">fl.26) e o </w:t>
      </w:r>
      <w:r w:rsidR="000B130B" w:rsidRPr="002B2854">
        <w:rPr>
          <w:rFonts w:ascii="Calibri" w:hAnsi="Calibri" w:cs="Calibri"/>
          <w:sz w:val="22"/>
          <w:szCs w:val="22"/>
        </w:rPr>
        <w:t>Despacho</w:t>
      </w:r>
      <w:r w:rsidR="000B130B">
        <w:rPr>
          <w:rFonts w:ascii="Calibri" w:hAnsi="Calibri" w:cs="Calibri"/>
          <w:sz w:val="22"/>
          <w:szCs w:val="22"/>
        </w:rPr>
        <w:t xml:space="preserve"> da Sema,</w:t>
      </w:r>
      <w:r w:rsidR="002B2854" w:rsidRPr="002B2854">
        <w:rPr>
          <w:rFonts w:ascii="Calibri" w:hAnsi="Calibri" w:cs="Calibri"/>
          <w:sz w:val="22"/>
          <w:szCs w:val="22"/>
        </w:rPr>
        <w:t xml:space="preserve"> de encaminhamento do processo, em 01/07/2016</w:t>
      </w:r>
      <w:r w:rsidR="000B130B">
        <w:rPr>
          <w:rFonts w:ascii="Calibri" w:hAnsi="Calibri" w:cs="Calibri"/>
          <w:sz w:val="22"/>
          <w:szCs w:val="22"/>
        </w:rPr>
        <w:t>, (fl. 29)</w:t>
      </w:r>
      <w:r w:rsidR="00FD6D7C">
        <w:rPr>
          <w:rFonts w:ascii="Calibri" w:hAnsi="Calibri" w:cs="Calibri"/>
          <w:sz w:val="22"/>
          <w:szCs w:val="22"/>
        </w:rPr>
        <w:t xml:space="preserve">. </w:t>
      </w:r>
      <w:r w:rsidR="002B2854" w:rsidRPr="002B2854">
        <w:rPr>
          <w:rFonts w:ascii="Calibri" w:hAnsi="Calibri" w:cs="Calibri"/>
          <w:sz w:val="22"/>
          <w:szCs w:val="22"/>
        </w:rPr>
        <w:t>Deste modo, o procedimento administrativo ficou paralisado, pendente de julgamento ou despacho, por mais de 3 (três) anos, devendo os autos serem arquivados em obediência ao art. 19, §2° do Decreto Estadual n° 1.986/2013. Sendo assim, cumpridos os requisitos legais, conheço do recurso e, em sede de preliminar prejudicial de mérito, reconheço a ocorrência das prescrições punitiva e intercorrente, julgando extinto o processo, sem prejuízo da reparação de eventual dano amb</w:t>
      </w:r>
      <w:r w:rsidR="002B2854">
        <w:rPr>
          <w:rFonts w:ascii="Calibri" w:hAnsi="Calibri" w:cs="Calibri"/>
          <w:sz w:val="22"/>
          <w:szCs w:val="22"/>
        </w:rPr>
        <w:t>iental causado pelo recorrente.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530BA6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30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62C2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0BA6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517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5BBE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249A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6D7C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C98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68AA-C8C6-4A71-958F-E421E9D3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2021-06-17T18:16:00Z</cp:lastPrinted>
  <dcterms:created xsi:type="dcterms:W3CDTF">2021-10-02T19:03:00Z</dcterms:created>
  <dcterms:modified xsi:type="dcterms:W3CDTF">2021-10-08T12:14:00Z</dcterms:modified>
</cp:coreProperties>
</file>